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2346F1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2346F1" w:rsidRDefault="00E02F34" w:rsidP="00BF6BF2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6F1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2346F1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2346F1">
              <w:rPr>
                <w:rFonts w:ascii="Arial" w:hAnsi="Arial" w:cs="Arial"/>
                <w:sz w:val="20"/>
                <w:szCs w:val="20"/>
              </w:rPr>
              <w:t xml:space="preserve"> podmínky</w:t>
            </w:r>
          </w:p>
        </w:tc>
      </w:tr>
    </w:tbl>
    <w:p w:rsidR="00CE4F6E" w:rsidRPr="002346F1" w:rsidRDefault="00CE4F6E" w:rsidP="002346F1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615933" w:rsidRPr="002346F1" w:rsidRDefault="00615933" w:rsidP="002346F1">
      <w:pPr>
        <w:keepNext/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2346F1" w:rsidRPr="002346F1" w:rsidRDefault="002346F1" w:rsidP="002346F1">
      <w:pPr>
        <w:tabs>
          <w:tab w:val="left" w:pos="1134"/>
        </w:tabs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„III/4051 Luka nad Jihlavou – most ev. č. 4051-3“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V současném stavu je most přes vodoteč (pravostranný přítok Jihlavy, IDVT 10186206, správce Povodí Moravy) v nevyhovujícím stavebním stavu a v nevhodném prostorovém uspořádání. Most je situován v intravilánu, v městysu Luka nad Jihlavou. Umístění mostu a komunikace se nemění. 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Stávající most je klenbová konstrukce o jednom poli, bez chodníků, je v nevyhovujícím stavebně-technickém stavu, s narušenou spodní stavbou.Základy jsou nepřístupné, zřejmě plošné založení. Spodní stavba je z kamenných opěr, nosnou konstrukci tvoří betonová klenba. Stav nosné konstrukce mostu V – špatný, stav spodní stavby mostu IV – uspokojivý, použitelnost IV –omezeně použitelné. Světlost mostního otvoru je 2,91 m (kolmá). Po zhodnocení stávajícího stavebně-technického stavu mostu bylo správcem rozhodnuto o jeho celkové přestavbě. Původní konstrukce budou vybourány a místo nich bude vystavěn most nový. Nový most převede vozovku v kategorii S6,5 bez rozšíření v oblouku. Stávající vozovka má šířku zpevněné části cca 4,20 – 5,30 m. 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001 Demolice stávajícího mostu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Demolice původního mostu bude zahájena po převedení veškeré silniční dopravy na provizorní objízdnou trasu, a to bezprostředně před zahájením </w:t>
      </w:r>
      <w:bookmarkStart w:id="0" w:name="_GoBack"/>
      <w:bookmarkEnd w:id="0"/>
      <w:r w:rsidRPr="002346F1">
        <w:rPr>
          <w:rFonts w:ascii="Arial" w:hAnsi="Arial" w:cs="Arial"/>
          <w:bCs/>
          <w:sz w:val="20"/>
          <w:szCs w:val="20"/>
        </w:rPr>
        <w:t>výstavby nové mostní konstrukce.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Postup bouracích prací je navržen takto: převedení dopravy z III/4051 na provizorní objízdnou trasu; uzavření mostu pro veškerou dopravu; vytýčení stávajících inženýrských sítí a příprava staveniště; vybourání stávající vozovky v dl. 50,0 m; odstranění konstrukčních vozovkových vrstev na obou předmostích; demontáž svodidel a vybourání říms; vybourání nadnásypu klenby a čelních zdí; vybourání nosné konstrukce mostu – betonové klenby; vybourání opěr a křídel – kamenné zdivo; vybourání základů – pravděpodobně kamenná rovnanina.</w:t>
      </w:r>
    </w:p>
    <w:p w:rsidR="002346F1" w:rsidRPr="002346F1" w:rsidRDefault="002346F1" w:rsidP="002346F1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Při demolici je třeba zajistit stabilitu všech bouraných konstrukcí a jejich částí a to po celou dobu bourání resp. i v případě přerušení prací. Mechanizace i dělníci se mohou pohybovat pouze v místech, která jsou bezpečná. Tedy v místech kam nehrozí zřícení resp. sesuv konstrukcí. V žádném případě se nesmí ani dělníci ani mechanizace pohybovat pod bouranou nosnou konstrukcí resp. na nosné konstrukci, které již hrozí zřícení.</w:t>
      </w:r>
    </w:p>
    <w:p w:rsidR="002346F1" w:rsidRPr="002346F1" w:rsidRDefault="002346F1" w:rsidP="002346F1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151 Dopravně inženýrská opatření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Stavba bude probíhat za úplného vyloučení silničního provozu. Provoz na silnici III/4051 bude z dotčeného úseku převeden na vyznačenou objízdnou trasu po stávajících krajských silnicích III/4045 a II/404. Příjezd ke staveništi bude umožněn po stávající komunikaci z obou směrů.  O povolení úplné uzavírky, o stanovení přechodného dopravního značení požádá vybraný zhotovitel stavby (v zastoupení stavebníka) nejméně 30 dnů před zahájením prací.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Zcela uzavřený úsek je délky cca 80 m (stávající most a navazující úseky silnice). Jinak bude silnice III/4051 přístupná.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Objízdná trasa (obousměrná) pro individuální automobilovou dopravu (popisována ve směru staničení III/4051, tedy Puklice – Luka nad Jihlavou) bude trasována po stávajících veřejných (krajských) komunikacích III/4045 a II/404. Délka objízdné trasy: 5,7 km (z Puklice, křižovatky silnic III/4051 a III/4045 přes Svatoslav do Luk nad Jihlavou, na křižovatku silnic II/404 a III/4051); délka objížděného úseku: 3,8 km. Po silnici III/4051 v dotčeném úseku v době zpracování PD (04/2022) není trasován žádný spoj VLOD.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Zhotovitel stavby je povinen před zahájením stavby požádat příslušný silniční správní úřad (za předchozího souhlasu DI Policie ČR) o „Stanovení dopravního značení v místě stavby“, zajistit osazení dopravních značek a dbát o úplnost a funkčnost přechodného dopravního značení po celou dobu výstavby. Pro pěší a cyklistickou dopravu bude využita souběžná komunikace mezi železniční tratí a řekou Jihlavou s tím, že stavba vytvoří na puklické straně pro pěší koridor v místě sjezdu k železničnímu přejezdu (jeho poloha může být v průběhu stavby měněna dle situace). Vzhledem k nízké frekvenci jak pěšího i cyklistického provozu nebude trasa zvlášť značena. Pro potřeby stavby bude zřízena staveništní lávka na povodní straně mostu.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201 Most ev. č. 4051-3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lastRenderedPageBreak/>
        <w:t>Jde o přímo pojížděný monolitický ŽB uzavřený deskový rám (podhled příčle přímkový), který je doplněn krátkými rovnoběžnými křídly (a obnovenými břehovými zídkami). Most je v celé délce směrově v kruhovém oblouku, s jednostranným konstantním příčným sklonem 2,5% (levostranný). Podélný spád nivelety v místě mostu je proměnný (údolnicový zakružovací oblouk), na délku NK průměrně 2,1% (stoupání ve směru staničení). Založení se předpokládá plošné, na vrstvě výplňového betonu. Na obou okrajích mostu bude osazeno ocelové zábradelní svodidlo výšky 1,10 m (H2). Svahy a dno koryta pod mostem a v jeho bezprostřední blízkosti budou opevněny dlažbou z lomového kamene do betonu v celkové minimální tloušťce 300 mm. Opevnění je ukončeno příčnými prahy. Bude obnoveno stávající schodiště podél pravého křídla opěry 2. V rámci akce nebudou prováděny žádné zásahy do stávajících inženýrských sítí s výjimkou odstranění části stávajícího potrubí (DN120) umístěné v korytě potoka (bude odstraněno v délce 8 m – po hranici obvodu stavby).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  <w:u w:val="single"/>
        </w:rPr>
        <w:t>Vozovka na mostě</w:t>
      </w:r>
      <w:r w:rsidRPr="002346F1">
        <w:rPr>
          <w:rFonts w:ascii="Arial" w:hAnsi="Arial" w:cs="Arial"/>
          <w:bCs/>
          <w:sz w:val="20"/>
          <w:szCs w:val="20"/>
        </w:rPr>
        <w:t>: asfaltové směsi a hotové vrstvy musí splňovat vlastnosti a parametry uvedené v ČSN EN 13043. Postup prací musí být v souladu s TKP.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asfaltový beton střednězrnný ACO 11+ 50/70 tl. 40 mm ČSN EN 13108-1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asfaltový beton hrubozrnný ACL 16+ 50/70 tl. 50 mm ČSN EN 13108-1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ochrana izolace - litý asfalt MA 11 IV tl. 35 mm ČSN 73 6122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celoplošná izolace NAIP na pečetící vrstvu tl. 5 mm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  <w:u w:val="single"/>
        </w:rPr>
        <w:t>Vozovka mimo most</w:t>
      </w:r>
      <w:r w:rsidRPr="002346F1">
        <w:rPr>
          <w:rFonts w:ascii="Arial" w:hAnsi="Arial" w:cs="Arial"/>
          <w:bCs/>
          <w:sz w:val="20"/>
          <w:szCs w:val="20"/>
        </w:rPr>
        <w:t xml:space="preserve"> bude provedena v plné skladbě v rozsahu celé úpravy komunikace, tedy v délce 50,00 m v celé šířce komunikace (mezi římsami 6,50 m, na předpolích 5,50 m, následně plynulé zúžení na stávající stav). Asfaltové směsi a hotové vrstvy musí splňovat vlastnosti a parametry uvedené v ČSN EN 13043. Postup prací musí být v souladu s TKP.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asfaltový beton střednězrnný ACO 11+ 50/70 tl. 40 mm ČSN EN 13108-1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asfaltový beton hrubozrnný ACL 16+ 50/70 tl. 50 mm ČSN EN 13108-1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asfaltový beton hrubozrnný ACP 16+ 50/70 tl. 60 mm ČSN EN 13108-1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infiltrační postřik 1,00 kg/m2 ČSN 73 6129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štěrkodrť ŠDA tl. 200 mm ČSN EN 13285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• štěrkodrť ŠDA min. tl. 200 mm ČSN EN 13285 ED. 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  <w:lang w:eastAsia="cs-CZ"/>
        </w:rPr>
      </w:pP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Délka přemostění (čl. 60) v ose silnice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3,000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Délka mostu (čl. 61) v ose silnice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9,500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Délka nosné konstrukce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3,700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Šikmost mostu (čl. 65) dle úložných úhlů opěr </w:t>
      </w:r>
      <w:r w:rsidRPr="002346F1">
        <w:rPr>
          <w:rFonts w:ascii="Arial" w:hAnsi="Arial" w:cs="Arial"/>
          <w:bCs/>
          <w:sz w:val="20"/>
          <w:szCs w:val="20"/>
        </w:rPr>
        <w:tab/>
        <w:t>kolmý most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Úhel křížení (čl. 63)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100,0 g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Šířka mostu (čl. 69)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8,100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Volná šířka mostu mezi líci svodidel (čl. 70) </w:t>
      </w:r>
      <w:r w:rsidRPr="002346F1">
        <w:rPr>
          <w:rFonts w:ascii="Arial" w:hAnsi="Arial" w:cs="Arial"/>
          <w:bCs/>
          <w:sz w:val="20"/>
          <w:szCs w:val="20"/>
        </w:rPr>
        <w:tab/>
        <w:t>6,500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Výška mostu (čl. 74) nade dnem v bodě křížení </w:t>
      </w:r>
      <w:r w:rsidRPr="002346F1">
        <w:rPr>
          <w:rFonts w:ascii="Arial" w:hAnsi="Arial" w:cs="Arial"/>
          <w:bCs/>
          <w:sz w:val="20"/>
          <w:szCs w:val="20"/>
        </w:rPr>
        <w:tab/>
        <w:t>3,715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 xml:space="preserve">Stavební výška (čl. 75) uprostřed rozpětí </w:t>
      </w:r>
      <w:r w:rsidRPr="002346F1">
        <w:rPr>
          <w:rFonts w:ascii="Arial" w:hAnsi="Arial" w:cs="Arial"/>
          <w:bCs/>
          <w:sz w:val="20"/>
          <w:szCs w:val="20"/>
        </w:rPr>
        <w:tab/>
      </w:r>
      <w:r w:rsidRPr="002346F1">
        <w:rPr>
          <w:rFonts w:ascii="Arial" w:hAnsi="Arial" w:cs="Arial"/>
          <w:bCs/>
          <w:sz w:val="20"/>
          <w:szCs w:val="20"/>
        </w:rPr>
        <w:tab/>
        <w:t>0,480 m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vertAlign w:val="superscript"/>
        </w:rPr>
      </w:pPr>
      <w:r w:rsidRPr="002346F1">
        <w:rPr>
          <w:rFonts w:ascii="Arial" w:hAnsi="Arial" w:cs="Arial"/>
          <w:bCs/>
          <w:sz w:val="20"/>
          <w:szCs w:val="20"/>
        </w:rPr>
        <w:t>Plocha NK (kolmá délka NK x šířka NK): 3,70 x 7,50 = 27,75 m</w:t>
      </w:r>
      <w:r w:rsidRPr="002346F1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346F1">
        <w:rPr>
          <w:rFonts w:ascii="Arial" w:hAnsi="Arial" w:cs="Arial"/>
          <w:bCs/>
          <w:sz w:val="20"/>
          <w:szCs w:val="20"/>
        </w:rPr>
        <w:t>Most byl navržen se zatížitelností V</w:t>
      </w:r>
      <w:r w:rsidRPr="002346F1">
        <w:rPr>
          <w:rFonts w:ascii="Arial" w:hAnsi="Arial" w:cs="Arial"/>
          <w:bCs/>
          <w:sz w:val="20"/>
          <w:szCs w:val="20"/>
          <w:vertAlign w:val="subscript"/>
        </w:rPr>
        <w:t>n</w:t>
      </w:r>
      <w:r w:rsidRPr="002346F1">
        <w:rPr>
          <w:rFonts w:ascii="Arial" w:hAnsi="Arial" w:cs="Arial"/>
          <w:bCs/>
          <w:sz w:val="20"/>
          <w:szCs w:val="20"/>
        </w:rPr>
        <w:t xml:space="preserve"> = 50 t, V</w:t>
      </w:r>
      <w:r w:rsidRPr="002346F1">
        <w:rPr>
          <w:rFonts w:ascii="Arial" w:hAnsi="Arial" w:cs="Arial"/>
          <w:bCs/>
          <w:sz w:val="20"/>
          <w:szCs w:val="20"/>
          <w:vertAlign w:val="subscript"/>
        </w:rPr>
        <w:t>r</w:t>
      </w:r>
      <w:r w:rsidRPr="002346F1">
        <w:rPr>
          <w:rFonts w:ascii="Arial" w:hAnsi="Arial" w:cs="Arial"/>
          <w:bCs/>
          <w:sz w:val="20"/>
          <w:szCs w:val="20"/>
        </w:rPr>
        <w:t xml:space="preserve"> = 120 t, V</w:t>
      </w:r>
      <w:r w:rsidRPr="002346F1">
        <w:rPr>
          <w:rFonts w:ascii="Arial" w:hAnsi="Arial" w:cs="Arial"/>
          <w:bCs/>
          <w:sz w:val="20"/>
          <w:szCs w:val="20"/>
          <w:vertAlign w:val="subscript"/>
        </w:rPr>
        <w:t>e</w:t>
      </w:r>
      <w:r w:rsidRPr="002346F1">
        <w:rPr>
          <w:rFonts w:ascii="Arial" w:hAnsi="Arial" w:cs="Arial"/>
          <w:bCs/>
          <w:sz w:val="20"/>
          <w:szCs w:val="20"/>
        </w:rPr>
        <w:t xml:space="preserve"> = 214 t, V</w:t>
      </w:r>
      <w:r w:rsidRPr="002346F1">
        <w:rPr>
          <w:rFonts w:ascii="Arial" w:hAnsi="Arial" w:cs="Arial"/>
          <w:bCs/>
          <w:sz w:val="20"/>
          <w:szCs w:val="20"/>
          <w:vertAlign w:val="subscript"/>
        </w:rPr>
        <w:t>aj</w:t>
      </w:r>
      <w:r w:rsidRPr="002346F1">
        <w:rPr>
          <w:rFonts w:ascii="Arial" w:hAnsi="Arial" w:cs="Arial"/>
          <w:bCs/>
          <w:sz w:val="20"/>
          <w:szCs w:val="20"/>
        </w:rPr>
        <w:t xml:space="preserve"> = 21,4 t</w:t>
      </w: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Dotčené inženýrské sítě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Po dobu stavebních prací budou stávající IS v zájmovém prostoru ochráněny. (Platná vyjádření správcůinženýrských sítí viz dokladová část).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1/ CETIN, a.s.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nezaměřený metalický kabel v obvodu stavby (nebude stavbou dotčen, bude ochráněn)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nadzemní vedení v obvodu stavby (nebude stavbou dotčeno, bude ochráněno)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2/ EG. D, a. s.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podzemní NN kabel mimo obvod stavby (nebude stavbou dotčen)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nadzemní vedení NN v obvodu stavby (nebude stavbou dotčeno, bude ochráněno)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3/ ČD Telematika, a. s.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podzemní sdělovací kabel mimo obvod stavby (nebude stavbou dotčen)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4/ Městys Luka nad Jihlavou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nadzemní silové vedení místní rozhlas a VO v obvodu stavby (nebude stavbou dotčeno)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5/ neznámý správce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- potrubí PVC DN 120, částečně nadzemní, v obvodu stavby (bude v délce 8 m – po hranici obvodu stavby – odstraněno)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lastRenderedPageBreak/>
        <w:t>Před zahájením vlastních stavebních prací je nutné požádat všechny správce o vytýčení a zřetelné označení všech inženýrských sítí na místě.</w:t>
      </w: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highlight w:val="yellow"/>
          <w:lang w:eastAsia="cs-CZ"/>
        </w:rPr>
      </w:pP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Geodetické podklady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2346F1">
        <w:rPr>
          <w:rFonts w:ascii="Arial" w:eastAsia="Arial" w:hAnsi="Arial" w:cs="Arial"/>
          <w:bCs/>
          <w:sz w:val="20"/>
          <w:szCs w:val="20"/>
        </w:rPr>
        <w:t>Předmětem akce je i vyhotovení geodetické části dokumentace skutečného provedení stavby nebo geodetického podkladu pro vedení Digitální technické mapy, obsahující geometrické, polohové a výškové určení dokončené stavby nebo technologického zařízení. Bude vyhotoveno v souladu s § 5 a ve struktuře dle příloh č. 3 a 4 vyhlášky č. 393/2020 Sb., o digitální technické mapě (vyhláška DTM), v platném znění, v aktuálně platné verzi výměnného formátu dle § 6 vyhlášky DTM.</w:t>
      </w:r>
    </w:p>
    <w:p w:rsidR="002346F1" w:rsidRPr="002346F1" w:rsidRDefault="002346F1" w:rsidP="002346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  <w:highlight w:val="yellow"/>
        </w:rPr>
      </w:pPr>
    </w:p>
    <w:p w:rsidR="002346F1" w:rsidRP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Zadávací podklady</w:t>
      </w:r>
    </w:p>
    <w:p w:rsidR="002346F1" w:rsidRDefault="002346F1" w:rsidP="002346F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346F1">
        <w:rPr>
          <w:rFonts w:ascii="Arial" w:eastAsia="Times New Roman" w:hAnsi="Arial" w:cs="Arial"/>
          <w:sz w:val="20"/>
          <w:szCs w:val="20"/>
          <w:lang w:eastAsia="cs-CZ"/>
        </w:rPr>
        <w:t>Požadavky na rekonstrukci mostu jsou specifikovány v projektové dokumentaci, kterou ve stupni DÚSP a PDPS, spolu se soupisem prací v programu ASPE, vypracoval Ing. Jan Pracný, D-projekt, Výholec 23, 624 00 Brno v únoru 2022.</w:t>
      </w:r>
    </w:p>
    <w:p w:rsidR="00936B1D" w:rsidRDefault="00936B1D" w:rsidP="002346F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936B1D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6BF2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6BF2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19"/>
  </w:num>
  <w:num w:numId="15">
    <w:abstractNumId w:val="17"/>
  </w:num>
  <w:num w:numId="16">
    <w:abstractNumId w:val="3"/>
  </w:num>
  <w:num w:numId="17">
    <w:abstractNumId w:val="9"/>
  </w:num>
  <w:num w:numId="18">
    <w:abstractNumId w:val="20"/>
  </w:num>
  <w:num w:numId="19">
    <w:abstractNumId w:val="16"/>
  </w:num>
  <w:num w:numId="20">
    <w:abstractNumId w:val="7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0AEC"/>
    <w:rsid w:val="00105330"/>
    <w:rsid w:val="00124F5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346F1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01E9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15933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36B1D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F6BF2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1243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40</cp:revision>
  <cp:lastPrinted>2021-10-13T06:50:00Z</cp:lastPrinted>
  <dcterms:created xsi:type="dcterms:W3CDTF">2020-01-14T13:40:00Z</dcterms:created>
  <dcterms:modified xsi:type="dcterms:W3CDTF">2024-12-09T15:49:00Z</dcterms:modified>
</cp:coreProperties>
</file>